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โครงการพัฒนาและสร้างความเข้มแข็งกลุ่มบริการสุขภาพ: มุมมองร่วมกันแบบสหวิชาชีพ (1 เม.ย.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